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BC2D5" w14:textId="77777777" w:rsidR="00BE4446" w:rsidRDefault="00BE4446" w:rsidP="00BE4446">
      <w:pPr>
        <w:rPr>
          <w:color w:val="FF0000"/>
        </w:rPr>
      </w:pPr>
      <w:r>
        <w:rPr>
          <w:color w:val="FF0000"/>
        </w:rPr>
        <w:t>Add new clauses 12.11A-12.11C. Renumber existing clauses and amend newly renumbered 12.11D</w:t>
      </w:r>
      <w:r w:rsidR="000578EB">
        <w:rPr>
          <w:color w:val="FF0000"/>
        </w:rPr>
        <w:t xml:space="preserve"> &amp; E</w:t>
      </w:r>
      <w:r>
        <w:rPr>
          <w:color w:val="FF0000"/>
        </w:rPr>
        <w:t>.</w:t>
      </w:r>
    </w:p>
    <w:p w14:paraId="40DE1496" w14:textId="088AE799" w:rsidR="00BE4446" w:rsidRPr="00EF5B10" w:rsidRDefault="00EF5B10" w:rsidP="00BE4446">
      <w:pPr>
        <w:rPr>
          <w:b/>
          <w:bCs/>
        </w:rPr>
      </w:pPr>
      <w:r w:rsidRPr="00EF5B10">
        <w:rPr>
          <w:b/>
          <w:bCs/>
        </w:rPr>
        <w:t>Schedule 2B Section 3</w:t>
      </w:r>
    </w:p>
    <w:p w14:paraId="22C8829B" w14:textId="4B4B6FBF" w:rsidR="00BE4446" w:rsidRPr="00F16EF1" w:rsidRDefault="00BE4446" w:rsidP="00BE4446">
      <w:pPr>
        <w:rPr>
          <w:color w:val="FF0000"/>
          <w:u w:val="single"/>
        </w:rPr>
      </w:pPr>
      <w:r w:rsidRPr="00F16EF1">
        <w:rPr>
          <w:color w:val="FF0000"/>
          <w:u w:val="single"/>
        </w:rPr>
        <w:t xml:space="preserve">12.11A If at any time the Connection Point is De-energised for a continuous period exceeding 6 months, then the Company may (at any time thereafter while the Connection Point is De-energised, and having due regard to all the circumstances) give notice to the Customer that it considers that the </w:t>
      </w:r>
      <w:r w:rsidR="00EF5B10" w:rsidRPr="00F16EF1">
        <w:rPr>
          <w:color w:val="FF0000"/>
          <w:u w:val="single"/>
        </w:rPr>
        <w:t>Maximum Import and/or Export Capacity</w:t>
      </w:r>
      <w:r w:rsidRPr="00F16EF1">
        <w:rPr>
          <w:color w:val="FF0000"/>
          <w:u w:val="single"/>
        </w:rPr>
        <w:t xml:space="preserve"> is no longer required and request that the Customer responds in writing within 30 Working Days. </w:t>
      </w:r>
    </w:p>
    <w:p w14:paraId="01474310" w14:textId="43D32ACC" w:rsidR="00BE4446" w:rsidRPr="00F16EF1" w:rsidRDefault="00BE4446" w:rsidP="00BE4446">
      <w:pPr>
        <w:rPr>
          <w:color w:val="FF0000"/>
          <w:u w:val="single"/>
        </w:rPr>
      </w:pPr>
      <w:r w:rsidRPr="00F16EF1">
        <w:rPr>
          <w:color w:val="FF0000"/>
          <w:u w:val="single"/>
        </w:rPr>
        <w:t xml:space="preserve">12.11B Where the Company (having taken into account any representations and alternative proposals received from the Customer within the period referred to in Clause 12.11A) considers that it is unreasonable for the Company to continue to make the </w:t>
      </w:r>
      <w:r w:rsidR="00EF5B10" w:rsidRPr="00F16EF1">
        <w:rPr>
          <w:color w:val="FF0000"/>
          <w:u w:val="single"/>
        </w:rPr>
        <w:t>Maximum Import and/or Export Capacity</w:t>
      </w:r>
      <w:r w:rsidRPr="00F16EF1">
        <w:rPr>
          <w:color w:val="FF0000"/>
          <w:u w:val="single"/>
        </w:rPr>
        <w:t xml:space="preserve"> available to the Customer, then the Company may (save where the Customer has referred the matter to the Authority pursuant to the Act, and pending determination by the Authority) reduce the </w:t>
      </w:r>
      <w:r w:rsidR="00EF5B10" w:rsidRPr="00F16EF1">
        <w:rPr>
          <w:color w:val="FF0000"/>
          <w:u w:val="single"/>
        </w:rPr>
        <w:t>Maximum Import and/or Export Capacity</w:t>
      </w:r>
      <w:r w:rsidRPr="00F16EF1">
        <w:rPr>
          <w:color w:val="FF0000"/>
          <w:u w:val="single"/>
        </w:rPr>
        <w:t xml:space="preserve"> to zero and notify the Customer accordingly.</w:t>
      </w:r>
    </w:p>
    <w:p w14:paraId="25E46C9E" w14:textId="12E8EC86" w:rsidR="00BE4446" w:rsidRPr="00EF5B10" w:rsidRDefault="00BE4446" w:rsidP="00BE4446">
      <w:pPr>
        <w:rPr>
          <w:color w:val="FF0000"/>
          <w:u w:val="single"/>
        </w:rPr>
      </w:pPr>
      <w:r w:rsidRPr="00F16EF1">
        <w:rPr>
          <w:color w:val="FF0000"/>
          <w:u w:val="single"/>
        </w:rPr>
        <w:t xml:space="preserve">12.11C Where the Company has not reduced the </w:t>
      </w:r>
      <w:r w:rsidR="00EF5B10" w:rsidRPr="00F16EF1">
        <w:rPr>
          <w:color w:val="FF0000"/>
          <w:u w:val="single"/>
        </w:rPr>
        <w:t>Maximum Import and/or Export Capacity</w:t>
      </w:r>
      <w:r w:rsidRPr="00F16EF1">
        <w:rPr>
          <w:color w:val="FF0000"/>
          <w:u w:val="single"/>
        </w:rPr>
        <w:t xml:space="preserve"> to zero in light of representations from the Customer, DUoS charges </w:t>
      </w:r>
      <w:r w:rsidR="00F16EF1" w:rsidRPr="00F16EF1">
        <w:rPr>
          <w:color w:val="FF0000"/>
          <w:u w:val="single"/>
        </w:rPr>
        <w:t xml:space="preserve">in respect of the connection </w:t>
      </w:r>
      <w:r w:rsidRPr="00F16EF1">
        <w:rPr>
          <w:color w:val="FF0000"/>
          <w:u w:val="single"/>
        </w:rPr>
        <w:t>shall apply</w:t>
      </w:r>
      <w:r w:rsidR="00F16EF1" w:rsidRPr="00F16EF1">
        <w:rPr>
          <w:color w:val="FF0000"/>
          <w:u w:val="single"/>
        </w:rPr>
        <w:t xml:space="preserve"> from the first day of the month following the representations </w:t>
      </w:r>
      <w:r w:rsidR="00EF5B10" w:rsidRPr="00F16EF1">
        <w:rPr>
          <w:color w:val="FF0000"/>
          <w:u w:val="single"/>
        </w:rPr>
        <w:t>and shall be billed by the registered Supplier</w:t>
      </w:r>
      <w:r w:rsidRPr="00F16EF1">
        <w:rPr>
          <w:color w:val="FF0000"/>
          <w:u w:val="single"/>
        </w:rPr>
        <w:t>.</w:t>
      </w:r>
    </w:p>
    <w:p w14:paraId="4727BEE5" w14:textId="77777777" w:rsidR="00BE4446" w:rsidRDefault="00BE4446" w:rsidP="00BE4446">
      <w:r>
        <w:t>12.11</w:t>
      </w:r>
      <w:r w:rsidRPr="00BE4446">
        <w:rPr>
          <w:strike/>
          <w:color w:val="FF0000"/>
        </w:rPr>
        <w:t>A</w:t>
      </w:r>
      <w:r w:rsidRPr="00EF5B10">
        <w:rPr>
          <w:color w:val="FF0000"/>
          <w:u w:val="single"/>
        </w:rPr>
        <w:t>D</w:t>
      </w:r>
      <w:r>
        <w:t xml:space="preserve"> If at any time the Connection Point is De-energised for a continuous period exceeding </w:t>
      </w:r>
      <w:r w:rsidRPr="00BE4446">
        <w:rPr>
          <w:strike/>
          <w:color w:val="FF0000"/>
        </w:rPr>
        <w:t>6</w:t>
      </w:r>
      <w:r w:rsidRPr="00EF5B10">
        <w:rPr>
          <w:color w:val="FF0000"/>
          <w:u w:val="single"/>
        </w:rPr>
        <w:t>12</w:t>
      </w:r>
      <w:r>
        <w:t xml:space="preserve"> months, then the Company may (at any time thereafter while the Connection Point is De-energised, and having due regard to all the circumstances) give notice to the Customer that it considers that the connection is no longer required and request that the Customer responds in writing within 30 Working Days. Such notice must refer to the Company’s right to Disconnect the Connection Point if it is not reasonable in all the circumstances for the Company to maintain it. </w:t>
      </w:r>
    </w:p>
    <w:p w14:paraId="5AD31FD5" w14:textId="77777777" w:rsidR="00CE3E88" w:rsidRPr="00BE4446" w:rsidRDefault="00BE4446" w:rsidP="00BE4446">
      <w:r w:rsidRPr="00BE4446">
        <w:t>12.11</w:t>
      </w:r>
      <w:r w:rsidRPr="00BE4446">
        <w:rPr>
          <w:strike/>
          <w:color w:val="FF0000"/>
        </w:rPr>
        <w:t>B</w:t>
      </w:r>
      <w:r w:rsidRPr="00EF5B10">
        <w:rPr>
          <w:color w:val="FF0000"/>
          <w:u w:val="single"/>
        </w:rPr>
        <w:t>E</w:t>
      </w:r>
      <w:r>
        <w:t xml:space="preserve"> </w:t>
      </w:r>
      <w:r w:rsidRPr="00BE4446">
        <w:t>Where the Company (having taken into account any representations and alternative proposals received from the Customer within the period referred to in Clause 12.11</w:t>
      </w:r>
      <w:r w:rsidRPr="000578EB">
        <w:rPr>
          <w:strike/>
          <w:color w:val="FF0000"/>
        </w:rPr>
        <w:t>A</w:t>
      </w:r>
      <w:r w:rsidR="000578EB" w:rsidRPr="00EF5B10">
        <w:rPr>
          <w:color w:val="FF0000"/>
          <w:u w:val="single"/>
        </w:rPr>
        <w:t>D</w:t>
      </w:r>
      <w:r w:rsidRPr="00BE4446">
        <w:t>) reasonably considers that the Company is not required under the Act to maintain the connection in respect of the Premises, then the Company may (save where the Customer has referred the matter to the Authority pursuant to the Act, and pending determination by the Authority) give notice to the Customer in compliance with section 17(3) of the Act and thereafter Disconnect the Connection Point thereby terminating this Agreement.</w:t>
      </w:r>
    </w:p>
    <w:sectPr w:rsidR="00CE3E88" w:rsidRPr="00BE444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731F4"/>
    <w:multiLevelType w:val="multilevel"/>
    <w:tmpl w:val="FB3A6CBA"/>
    <w:lvl w:ilvl="0">
      <w:start w:val="1"/>
      <w:numFmt w:val="decimal"/>
      <w:pStyle w:val="Heading1"/>
      <w:lvlText w:val="%1."/>
      <w:lvlJc w:val="left"/>
      <w:pPr>
        <w:ind w:left="0" w:firstLine="0"/>
      </w:pPr>
      <w:rPr>
        <w:specVanish w:val="0"/>
      </w:rPr>
    </w:lvl>
    <w:lvl w:ilvl="1">
      <w:start w:val="1"/>
      <w:numFmt w:val="decimal"/>
      <w:pStyle w:val="Heading2"/>
      <w:lvlText w:val="%1.%2"/>
      <w:lvlJc w:val="left"/>
      <w:pPr>
        <w:ind w:left="-4320" w:firstLine="0"/>
      </w:pPr>
      <w:rPr>
        <w:b w:val="0"/>
        <w:bCs/>
        <w:specVanish w:val="0"/>
      </w:rPr>
    </w:lvl>
    <w:lvl w:ilvl="2">
      <w:start w:val="1"/>
      <w:numFmt w:val="decimal"/>
      <w:pStyle w:val="Heading3"/>
      <w:lvlText w:val="%1.%2.%3"/>
      <w:lvlJc w:val="left"/>
      <w:pPr>
        <w:ind w:left="-4320" w:firstLine="0"/>
      </w:pPr>
      <w:rPr>
        <w:rFonts w:hint="default"/>
      </w:rPr>
    </w:lvl>
    <w:lvl w:ilvl="3">
      <w:start w:val="1"/>
      <w:numFmt w:val="decimal"/>
      <w:pStyle w:val="Heading4"/>
      <w:lvlText w:val="%1.%2.%3.%4"/>
      <w:lvlJc w:val="left"/>
      <w:pPr>
        <w:ind w:left="-4320" w:firstLine="0"/>
      </w:pPr>
      <w:rPr>
        <w:rFonts w:hint="default"/>
      </w:rPr>
    </w:lvl>
    <w:lvl w:ilvl="4">
      <w:start w:val="1"/>
      <w:numFmt w:val="lowerLetter"/>
      <w:pStyle w:val="Heading5"/>
      <w:lvlText w:val="(%5)"/>
      <w:lvlJc w:val="left"/>
      <w:pPr>
        <w:ind w:left="1134" w:firstLine="0"/>
      </w:pPr>
      <w:rPr>
        <w:specVanish w:val="0"/>
      </w:rPr>
    </w:lvl>
    <w:lvl w:ilvl="5">
      <w:start w:val="1"/>
      <w:numFmt w:val="lowerRoman"/>
      <w:pStyle w:val="Heading6"/>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pStyle w:val="Heading7"/>
      <w:lvlText w:val="%7."/>
      <w:lvlJc w:val="left"/>
      <w:pPr>
        <w:ind w:left="-4320" w:firstLine="0"/>
      </w:pPr>
      <w:rPr>
        <w:specVanish w:val="0"/>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num w:numId="1" w16cid:durableId="1170759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446"/>
    <w:rsid w:val="000578EB"/>
    <w:rsid w:val="006F32A7"/>
    <w:rsid w:val="00A30BF6"/>
    <w:rsid w:val="00A33391"/>
    <w:rsid w:val="00BE4446"/>
    <w:rsid w:val="00DF5A29"/>
    <w:rsid w:val="00EF5B10"/>
    <w:rsid w:val="00F16E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F964F"/>
  <w15:chartTrackingRefBased/>
  <w15:docId w15:val="{A731F812-20A3-4616-8059-7A4445C78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BE4446"/>
    <w:pPr>
      <w:keepNext/>
      <w:keepLines/>
      <w:numPr>
        <w:numId w:val="1"/>
      </w:numPr>
      <w:spacing w:before="480" w:after="240" w:line="360" w:lineRule="auto"/>
      <w:jc w:val="center"/>
      <w:outlineLvl w:val="0"/>
    </w:pPr>
    <w:rPr>
      <w:rFonts w:ascii="Times New Roman Bold" w:eastAsiaTheme="majorEastAsia" w:hAnsi="Times New Roman Bold" w:cstheme="majorBidi"/>
      <w:b/>
      <w:bCs/>
      <w:caps/>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Heading1"/>
    <w:link w:val="Heading2Char"/>
    <w:uiPriority w:val="99"/>
    <w:unhideWhenUsed/>
    <w:qFormat/>
    <w:rsid w:val="00BE4446"/>
    <w:pPr>
      <w:keepNext w:val="0"/>
      <w:keepLines w:val="0"/>
      <w:numPr>
        <w:ilvl w:val="1"/>
      </w:numPr>
      <w:spacing w:before="0"/>
      <w:ind w:left="720" w:hanging="720"/>
      <w:jc w:val="both"/>
      <w:outlineLvl w:val="1"/>
    </w:pPr>
    <w:rPr>
      <w:rFonts w:ascii="Times New Roman" w:hAnsi="Times New Roman"/>
      <w:b w:val="0"/>
      <w:bCs w:val="0"/>
      <w:caps w:val="0"/>
      <w:szCs w:val="26"/>
      <w:u w:val="none"/>
    </w:rPr>
  </w:style>
  <w:style w:type="paragraph" w:styleId="Heading3">
    <w:name w:val="heading 3"/>
    <w:aliases w:val="DCUSA H3,level 3,level3,Nadpis 3,3,Section,Annotationen,(Alt+3),(Alt+3)1,(Alt+3)2,(Alt+3)3,(Alt+3)4,(Alt+3)5,(Alt+3)6,(Alt+3)11,(Alt+3)21,(Alt+3)31,(Alt+3)41,(Alt+3)7,(Alt+3)12,(Alt+3)22,(Alt+3)32,(Alt+3)42,(Alt+3)8,(Alt+3)9,(Alt+3)10"/>
    <w:basedOn w:val="Heading2"/>
    <w:next w:val="Heading2"/>
    <w:link w:val="Heading3Char"/>
    <w:uiPriority w:val="99"/>
    <w:unhideWhenUsed/>
    <w:qFormat/>
    <w:rsid w:val="00BE4446"/>
    <w:pPr>
      <w:numPr>
        <w:ilvl w:val="2"/>
      </w:numPr>
      <w:ind w:left="1571" w:hanging="851"/>
      <w:outlineLvl w:val="2"/>
    </w:pPr>
    <w:rPr>
      <w:bCs/>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BE4446"/>
    <w:pPr>
      <w:keepNext/>
      <w:keepLines/>
      <w:numPr>
        <w:ilvl w:val="3"/>
        <w:numId w:val="1"/>
      </w:numPr>
      <w:spacing w:before="200" w:after="0" w:line="276" w:lineRule="auto"/>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Normal"/>
    <w:next w:val="Normal"/>
    <w:link w:val="Heading5Char"/>
    <w:autoRedefine/>
    <w:uiPriority w:val="99"/>
    <w:unhideWhenUsed/>
    <w:qFormat/>
    <w:rsid w:val="00BE4446"/>
    <w:pPr>
      <w:numPr>
        <w:ilvl w:val="4"/>
        <w:numId w:val="1"/>
      </w:numPr>
      <w:spacing w:before="200" w:after="120" w:line="360" w:lineRule="auto"/>
      <w:ind w:hanging="425"/>
      <w:outlineLvl w:val="4"/>
    </w:pPr>
    <w:rPr>
      <w:rFonts w:ascii="Times New Roman" w:eastAsiaTheme="majorEastAsia" w:hAnsi="Times New Roman" w:cstheme="majorBidi"/>
      <w:sz w:val="24"/>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9"/>
    <w:unhideWhenUsed/>
    <w:qFormat/>
    <w:rsid w:val="00BE4446"/>
    <w:pPr>
      <w:keepLines/>
      <w:numPr>
        <w:ilvl w:val="5"/>
        <w:numId w:val="1"/>
      </w:numPr>
      <w:spacing w:before="200" w:after="0" w:line="360" w:lineRule="auto"/>
      <w:ind w:left="2160" w:hanging="720"/>
      <w:jc w:val="both"/>
      <w:outlineLvl w:val="5"/>
    </w:pPr>
    <w:rPr>
      <w:rFonts w:ascii="Times New Roman" w:eastAsiaTheme="majorEastAsia" w:hAnsi="Times New Roman" w:cstheme="majorBidi"/>
      <w:iCs/>
      <w:color w:val="000000" w:themeColor="text1"/>
      <w:sz w:val="24"/>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link w:val="Heading7Char"/>
    <w:uiPriority w:val="99"/>
    <w:unhideWhenUsed/>
    <w:qFormat/>
    <w:rsid w:val="00BE4446"/>
    <w:pPr>
      <w:numPr>
        <w:ilvl w:val="6"/>
        <w:numId w:val="1"/>
      </w:numPr>
      <w:spacing w:after="200" w:line="360" w:lineRule="auto"/>
      <w:ind w:left="720" w:hanging="720"/>
      <w:jc w:val="both"/>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BE4446"/>
    <w:pPr>
      <w:keepNext/>
      <w:keepLines/>
      <w:numPr>
        <w:ilvl w:val="7"/>
        <w:numId w:val="1"/>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BE4446"/>
    <w:pPr>
      <w:keepNext/>
      <w:keepLines/>
      <w:numPr>
        <w:ilvl w:val="8"/>
        <w:numId w:val="1"/>
      </w:numPr>
      <w:spacing w:before="200" w:after="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BE4446"/>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BE4446"/>
    <w:rPr>
      <w:rFonts w:ascii="Times New Roman" w:eastAsiaTheme="majorEastAsia" w:hAnsi="Times New Roman" w:cstheme="majorBidi"/>
      <w:sz w:val="24"/>
      <w:szCs w:val="2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99"/>
    <w:rsid w:val="00BE4446"/>
    <w:rPr>
      <w:rFonts w:ascii="Times New Roman" w:eastAsiaTheme="majorEastAsia" w:hAnsi="Times New Roman" w:cstheme="majorBidi"/>
      <w:bCs/>
      <w:sz w:val="24"/>
      <w:szCs w:val="26"/>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99"/>
    <w:rsid w:val="00BE4446"/>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BE4446"/>
    <w:rPr>
      <w:rFonts w:ascii="Times New Roman" w:eastAsiaTheme="majorEastAsia" w:hAnsi="Times New Roman" w:cstheme="majorBidi"/>
      <w:sz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basedOn w:val="DefaultParagraphFont"/>
    <w:link w:val="Heading6"/>
    <w:uiPriority w:val="99"/>
    <w:rsid w:val="00BE4446"/>
    <w:rPr>
      <w:rFonts w:ascii="Times New Roman" w:eastAsiaTheme="majorEastAsia" w:hAnsi="Times New Roman" w:cstheme="majorBidi"/>
      <w:iCs/>
      <w:color w:val="000000" w:themeColor="text1"/>
      <w:sz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basedOn w:val="DefaultParagraphFont"/>
    <w:link w:val="Heading7"/>
    <w:uiPriority w:val="99"/>
    <w:rsid w:val="00BE4446"/>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99"/>
    <w:rsid w:val="00BE4446"/>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99"/>
    <w:rsid w:val="00BE4446"/>
    <w:rPr>
      <w:rFonts w:asciiTheme="majorHAnsi" w:eastAsiaTheme="majorEastAsia" w:hAnsiTheme="majorHAnsi" w:cstheme="majorBidi"/>
      <w:i/>
      <w:iCs/>
      <w:color w:val="404040" w:themeColor="text1" w:themeTint="BF"/>
      <w:sz w:val="20"/>
      <w:szCs w:val="20"/>
    </w:rPr>
  </w:style>
  <w:style w:type="paragraph" w:styleId="BalloonText">
    <w:name w:val="Balloon Text"/>
    <w:basedOn w:val="Normal"/>
    <w:link w:val="BalloonTextChar"/>
    <w:uiPriority w:val="99"/>
    <w:semiHidden/>
    <w:unhideWhenUsed/>
    <w:rsid w:val="00BE44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44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385</Words>
  <Characters>2196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UK Power Networks</Company>
  <LinksUpToDate>false</LinksUpToDate>
  <CharactersWithSpaces>2576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Waymont, Peter</dc:creator>
  <cp:keywords/>
  <dc:description/>
  <cp:lastModifiedBy>Craig Booth</cp:lastModifiedBy>
  <cp:revision>2</cp:revision>
  <dcterms:created xsi:type="dcterms:W3CDTF">2023-01-24T14:30:00Z</dcterms:created>
  <dcterms:modified xsi:type="dcterms:W3CDTF">2023-01-24T14:30:00Z</dcterms:modified>
</cp:coreProperties>
</file>